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2C63397D" w14:textId="7FC8CCC0" w:rsidR="003D1383" w:rsidRPr="004B2C39" w:rsidRDefault="003D1383" w:rsidP="003D1383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bookmarkStart w:id="0" w:name="z99"/>
      <w:r w:rsidRPr="004B2C39">
        <w:rPr>
          <w:rFonts w:ascii="Times New Roman" w:hAnsi="Times New Roman" w:cs="Times New Roman"/>
          <w:sz w:val="28"/>
          <w:szCs w:val="28"/>
        </w:rPr>
        <w:t>Бұйрыққа 10-қосымша</w:t>
      </w:r>
    </w:p>
    <w:p w14:paraId="75A13292" w14:textId="77777777" w:rsidR="003D1383" w:rsidRPr="004B2C39" w:rsidRDefault="003D1383" w:rsidP="003D1383">
      <w:pPr>
        <w:pStyle w:val="ac"/>
        <w:ind w:left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41DF3CA" w14:textId="77777777" w:rsidR="003D1383" w:rsidRPr="004B2C39" w:rsidRDefault="003D1383" w:rsidP="003D1383">
      <w:pPr>
        <w:pStyle w:val="ac"/>
        <w:ind w:left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C1E63D3" w14:textId="77777777" w:rsidR="003D1383" w:rsidRPr="004B2C39" w:rsidRDefault="003D1383" w:rsidP="003D1383">
      <w:pPr>
        <w:pStyle w:val="ac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44E86E84" w14:textId="77777777" w:rsidR="003D1383" w:rsidRPr="004B2C39" w:rsidRDefault="003D1383" w:rsidP="003D1383">
      <w:pPr>
        <w:pStyle w:val="ac"/>
        <w:ind w:left="6237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23E4A821" w14:textId="77777777" w:rsidR="003D1383" w:rsidRPr="004B2C39" w:rsidRDefault="003D1383" w:rsidP="003D1383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1612BC3A" w14:textId="77777777" w:rsidR="003D1383" w:rsidRPr="004B2C39" w:rsidRDefault="003D1383" w:rsidP="003D1383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14:paraId="67CBC66C" w14:textId="77777777" w:rsidR="003D1383" w:rsidRPr="004B2C39" w:rsidRDefault="003D1383" w:rsidP="003D1383">
      <w:pPr>
        <w:pStyle w:val="ac"/>
        <w:ind w:left="623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F8816C5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Мәліметтер</w:t>
      </w:r>
    </w:p>
    <w:p w14:paraId="72DE4EDE" w14:textId="77682604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тауар биржаларында және (немесе) тауар биржаларының клирингтік орталықтары ұсынатын, тауар биржасында өткізілген биржалық тауарлармен жеке тұлғалардың мәмілелері туралы * </w:t>
      </w:r>
    </w:p>
    <w:p w14:paraId="5584898B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9D6CBE" w14:textId="77777777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2A61874C" w14:textId="77777777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 интернет–ресурста орналастырылған: </w:t>
      </w:r>
      <w:proofErr w:type="spellStart"/>
      <w:r w:rsidRPr="004B2C39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2C39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7A903304" w14:textId="4265CF2B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нысанның атауы: Тауар биржалары және (немесе) тауар биржаларының клирингтік орталықтары ұсынатын, тауар биржасында сатылған биржалық тауарлармен жеке тұлғалардың мәмілелері туралы мәліметтер.</w:t>
      </w:r>
    </w:p>
    <w:p w14:paraId="09021A71" w14:textId="0786D0BD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(форма атауының қысқаша әріптік-цифрлық өрнегі): SSFLBT10</w:t>
      </w:r>
    </w:p>
    <w:p w14:paraId="30BD0970" w14:textId="77777777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Кезеңділігі: мемлекеттік кірістер органының сұрауы бойынша.</w:t>
      </w:r>
    </w:p>
    <w:p w14:paraId="5F1FE3DA" w14:textId="77777777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Есепті кезең: мемлекеттік кірістер органының сұрауы бойынша.</w:t>
      </w:r>
    </w:p>
    <w:p w14:paraId="65751E0D" w14:textId="77777777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нысанды ұсынатын тұлғалар тобы: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бағалы қағаздар нарығының кәсіби қатысушылары.</w:t>
      </w:r>
    </w:p>
    <w:p w14:paraId="590EBC3A" w14:textId="77777777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нысанды тапсыру мерзімі: мемлекеттік кірістер органының сұранысы түскен күннен кейінгі 30 (отыз) жұмыс күні ішінде.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3D1383" w:rsidRPr="004B2C39" w14:paraId="251BA292" w14:textId="77777777" w:rsidTr="00AF6101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7DF4E" w14:textId="77777777" w:rsidR="003D1383" w:rsidRPr="004B2C39" w:rsidRDefault="003D1383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E6BD5" w14:textId="77777777" w:rsidR="003D1383" w:rsidRPr="004B2C39" w:rsidRDefault="003D1383" w:rsidP="00AF6101">
            <w:pPr>
              <w:pStyle w:val="ac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661CD0F" wp14:editId="21049D01">
                  <wp:extent cx="4010025" cy="323850"/>
                  <wp:effectExtent l="0" t="0" r="9525" b="0"/>
                  <wp:docPr id="8" name="Рисунок 8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8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30388CDD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 толтырылмайды,</w:t>
      </w:r>
    </w:p>
    <w:p w14:paraId="0480BB40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сондай-ақ біріктірілген түрде)</w:t>
      </w:r>
    </w:p>
    <w:p w14:paraId="599C4C3B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 әдісі: электрондық түрде және (немесе) қағаз жеткізгіште.</w:t>
      </w:r>
    </w:p>
    <w:p w14:paraId="5C25664C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F3B04C" w14:textId="77777777" w:rsidR="001F30C3" w:rsidRPr="004B2C39" w:rsidRDefault="001F30C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70C6C7" w14:textId="77777777" w:rsidR="001F30C3" w:rsidRPr="004B2C39" w:rsidRDefault="001F30C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ADA43B" w14:textId="77777777" w:rsidR="001F30C3" w:rsidRPr="004B2C39" w:rsidRDefault="001F30C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4C8FC1" w14:textId="77777777" w:rsidR="001F30C3" w:rsidRPr="004B2C39" w:rsidRDefault="001F30C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D25CE9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бастап кезең үшін "___" ________ 20____ бойынша жылдың "____" ________ 20___ жылдың</w:t>
      </w:r>
    </w:p>
    <w:p w14:paraId="0D8911B2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5E788C17" w14:textId="48F22EC9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(тауар биржасының атауы </w:t>
      </w:r>
      <w:r w:rsidR="001F30C3" w:rsidRPr="004B2C39">
        <w:rPr>
          <w:rFonts w:ascii="Times New Roman" w:hAnsi="Times New Roman" w:cs="Times New Roman"/>
          <w:sz w:val="28"/>
          <w:szCs w:val="28"/>
        </w:rPr>
        <w:t>және (немесе) тауар биржасының клирингтік орталығымен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, тауар биржасының бизнес-сәйкестендіру нөмірі </w:t>
      </w:r>
      <w:r w:rsidR="001F30C3" w:rsidRPr="004B2C39">
        <w:rPr>
          <w:rFonts w:ascii="Times New Roman" w:hAnsi="Times New Roman" w:cs="Times New Roman"/>
          <w:sz w:val="28"/>
          <w:szCs w:val="28"/>
        </w:rPr>
        <w:t>және (немесе) тауар биржасының клирингтік орталығымен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21439BF0" w14:textId="77777777" w:rsidR="001F30C3" w:rsidRPr="004B2C39" w:rsidRDefault="001F30C3" w:rsidP="003D1383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1826"/>
        <w:gridCol w:w="1826"/>
        <w:gridCol w:w="1097"/>
        <w:gridCol w:w="1746"/>
        <w:gridCol w:w="1400"/>
        <w:gridCol w:w="1304"/>
      </w:tblGrid>
      <w:tr w:rsidR="001F30C3" w:rsidRPr="004B2C39" w14:paraId="31125D28" w14:textId="77777777" w:rsidTr="001F30C3">
        <w:trPr>
          <w:trHeight w:val="30"/>
        </w:trPr>
        <w:tc>
          <w:tcPr>
            <w:tcW w:w="222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BC9AF" w14:textId="54A57CC1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4B2C39">
              <w:rPr>
                <w:color w:val="000000"/>
                <w:sz w:val="28"/>
                <w:szCs w:val="28"/>
              </w:rPr>
              <w:t>№ р/с</w:t>
            </w:r>
          </w:p>
        </w:tc>
        <w:tc>
          <w:tcPr>
            <w:tcW w:w="984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51544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Түрі</w:t>
            </w:r>
            <w:proofErr w:type="spellEnd"/>
            <w:r w:rsidRPr="004B2C3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2C39">
              <w:rPr>
                <w:color w:val="000000"/>
                <w:sz w:val="28"/>
                <w:szCs w:val="28"/>
              </w:rPr>
              <w:t>тауардың</w:t>
            </w:r>
            <w:proofErr w:type="spellEnd"/>
          </w:p>
        </w:tc>
        <w:tc>
          <w:tcPr>
            <w:tcW w:w="1589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DB19D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Биржалық</w:t>
            </w:r>
            <w:proofErr w:type="spellEnd"/>
            <w:r w:rsidRPr="004B2C3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2C39">
              <w:rPr>
                <w:color w:val="000000"/>
                <w:sz w:val="28"/>
                <w:szCs w:val="28"/>
              </w:rPr>
              <w:t>мәміле</w:t>
            </w:r>
            <w:proofErr w:type="spellEnd"/>
          </w:p>
        </w:tc>
        <w:tc>
          <w:tcPr>
            <w:tcW w:w="2205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39AB0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Мәліметтер</w:t>
            </w:r>
            <w:proofErr w:type="spellEnd"/>
            <w:r w:rsidRPr="004B2C39">
              <w:rPr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4B2C39">
              <w:rPr>
                <w:color w:val="000000"/>
                <w:sz w:val="28"/>
                <w:szCs w:val="28"/>
              </w:rPr>
              <w:t>тауарда</w:t>
            </w:r>
            <w:proofErr w:type="spellEnd"/>
          </w:p>
        </w:tc>
      </w:tr>
      <w:tr w:rsidR="001F30C3" w:rsidRPr="004B2C39" w14:paraId="3DDA1B44" w14:textId="77777777" w:rsidTr="001F30C3">
        <w:trPr>
          <w:trHeight w:val="30"/>
        </w:trPr>
        <w:tc>
          <w:tcPr>
            <w:tcW w:w="222" w:type="pct"/>
            <w:vMerge/>
          </w:tcPr>
          <w:p w14:paraId="288C8DE4" w14:textId="77777777" w:rsidR="001F30C3" w:rsidRPr="004B2C39" w:rsidRDefault="001F30C3" w:rsidP="001F30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pct"/>
            <w:vMerge/>
          </w:tcPr>
          <w:p w14:paraId="332C2CCF" w14:textId="77777777" w:rsidR="001F30C3" w:rsidRPr="004B2C39" w:rsidRDefault="001F30C3" w:rsidP="001F30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FD7E4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күні</w:t>
            </w:r>
            <w:proofErr w:type="spellEnd"/>
          </w:p>
        </w:tc>
        <w:tc>
          <w:tcPr>
            <w:tcW w:w="6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A25BD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</w:tc>
        <w:tc>
          <w:tcPr>
            <w:tcW w:w="7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68A51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74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52A47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саны</w:t>
            </w:r>
            <w:proofErr w:type="spellEnd"/>
          </w:p>
        </w:tc>
        <w:tc>
          <w:tcPr>
            <w:tcW w:w="7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3D25D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сома</w:t>
            </w:r>
            <w:proofErr w:type="spellEnd"/>
            <w:r w:rsidRPr="004B2C3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2C39">
              <w:rPr>
                <w:color w:val="000000"/>
                <w:sz w:val="28"/>
                <w:szCs w:val="28"/>
              </w:rPr>
              <w:t>лоттың</w:t>
            </w:r>
            <w:proofErr w:type="spellEnd"/>
          </w:p>
        </w:tc>
      </w:tr>
      <w:tr w:rsidR="001F30C3" w:rsidRPr="004B2C39" w14:paraId="0773586E" w14:textId="77777777" w:rsidTr="001F30C3">
        <w:trPr>
          <w:trHeight w:val="30"/>
        </w:trPr>
        <w:tc>
          <w:tcPr>
            <w:tcW w:w="2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4E5AD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C2638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2FC4C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5D42A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91FF5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4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C588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5CFD8" w14:textId="77777777" w:rsidR="001F30C3" w:rsidRPr="004B2C39" w:rsidRDefault="001F30C3" w:rsidP="001F30C3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7</w:t>
            </w:r>
          </w:p>
        </w:tc>
      </w:tr>
    </w:tbl>
    <w:p w14:paraId="2E73622F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8A5E06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кестенің жалғасы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0"/>
        <w:gridCol w:w="1397"/>
        <w:gridCol w:w="934"/>
        <w:gridCol w:w="2070"/>
        <w:gridCol w:w="2135"/>
        <w:gridCol w:w="768"/>
        <w:gridCol w:w="633"/>
      </w:tblGrid>
      <w:tr w:rsidR="001F30C3" w:rsidRPr="004B2C39" w14:paraId="6F68C8FF" w14:textId="77777777" w:rsidTr="001F30C3">
        <w:trPr>
          <w:trHeight w:val="30"/>
          <w:jc w:val="center"/>
        </w:trPr>
        <w:tc>
          <w:tcPr>
            <w:tcW w:w="8994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A8C3F" w14:textId="77777777" w:rsidR="001F30C3" w:rsidRPr="004B2C39" w:rsidRDefault="001F30C3" w:rsidP="00EC3339">
            <w:pPr>
              <w:spacing w:after="20" w:line="240" w:lineRule="auto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Қатысушылар</w:t>
            </w:r>
            <w:proofErr w:type="spellEnd"/>
            <w:r w:rsidRPr="004B2C3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2C39">
              <w:rPr>
                <w:color w:val="000000"/>
                <w:sz w:val="28"/>
                <w:szCs w:val="28"/>
              </w:rPr>
              <w:t>биржалық</w:t>
            </w:r>
            <w:proofErr w:type="spellEnd"/>
            <w:r w:rsidRPr="004B2C3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2C39">
              <w:rPr>
                <w:color w:val="000000"/>
                <w:sz w:val="28"/>
                <w:szCs w:val="28"/>
              </w:rPr>
              <w:t>сауда-саттық</w:t>
            </w:r>
            <w:proofErr w:type="spellEnd"/>
          </w:p>
        </w:tc>
        <w:tc>
          <w:tcPr>
            <w:tcW w:w="63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34632" w14:textId="77777777" w:rsidR="001F30C3" w:rsidRPr="004B2C39" w:rsidRDefault="001F30C3" w:rsidP="00EC3339">
            <w:pPr>
              <w:spacing w:after="20" w:line="240" w:lineRule="auto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Режим</w:t>
            </w:r>
            <w:proofErr w:type="spellEnd"/>
            <w:r w:rsidRPr="004B2C3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2C39">
              <w:rPr>
                <w:color w:val="000000"/>
                <w:sz w:val="28"/>
                <w:szCs w:val="28"/>
              </w:rPr>
              <w:t>сауда-саттық</w:t>
            </w:r>
            <w:proofErr w:type="spellEnd"/>
          </w:p>
        </w:tc>
      </w:tr>
      <w:tr w:rsidR="001F30C3" w:rsidRPr="004B2C39" w14:paraId="20068B47" w14:textId="77777777" w:rsidTr="001F30C3">
        <w:trPr>
          <w:trHeight w:val="30"/>
          <w:jc w:val="center"/>
        </w:trPr>
        <w:tc>
          <w:tcPr>
            <w:tcW w:w="16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3E0DD" w14:textId="06E78724" w:rsidR="001F30C3" w:rsidRPr="004B2C39" w:rsidRDefault="001F30C3" w:rsidP="00EC3339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4B2C39">
              <w:rPr>
                <w:color w:val="000000"/>
                <w:sz w:val="28"/>
                <w:szCs w:val="28"/>
                <w:lang w:val="ru-RU"/>
              </w:rPr>
              <w:t>жеке сәйкестендіру нөмірі</w:t>
            </w:r>
          </w:p>
        </w:tc>
        <w:tc>
          <w:tcPr>
            <w:tcW w:w="1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DC6B6" w14:textId="31FB8BA0" w:rsidR="001F30C3" w:rsidRPr="004B2C39" w:rsidRDefault="001F30C3" w:rsidP="00EC3339">
            <w:pPr>
              <w:spacing w:after="20" w:line="240" w:lineRule="auto"/>
              <w:ind w:left="2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B2C39">
              <w:rPr>
                <w:color w:val="000000"/>
                <w:sz w:val="28"/>
                <w:szCs w:val="28"/>
                <w:lang w:val="ru-RU"/>
              </w:rPr>
              <w:t>тегі, аты және әкесінің аты (бар болса</w:t>
            </w:r>
          </w:p>
          <w:p w14:paraId="24064C70" w14:textId="549CF9CD" w:rsidR="001F30C3" w:rsidRPr="004B2C39" w:rsidRDefault="001F30C3" w:rsidP="00EC3339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4B2C39">
              <w:rPr>
                <w:color w:val="000000"/>
                <w:sz w:val="28"/>
                <w:szCs w:val="28"/>
                <w:lang w:val="ru-RU"/>
              </w:rPr>
              <w:t>жеке басын куәландыратын құжатта көрсетілген)</w:t>
            </w:r>
          </w:p>
        </w:tc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F2979" w14:textId="77777777" w:rsidR="001F30C3" w:rsidRPr="004B2C39" w:rsidRDefault="001F30C3" w:rsidP="00EC3339">
            <w:pPr>
              <w:spacing w:after="20" w:line="240" w:lineRule="auto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брокер</w:t>
            </w:r>
            <w:proofErr w:type="spellEnd"/>
            <w:r w:rsidRPr="004B2C3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2C39">
              <w:rPr>
                <w:color w:val="000000"/>
                <w:sz w:val="28"/>
                <w:szCs w:val="28"/>
              </w:rPr>
              <w:t>сатып алушының</w:t>
            </w:r>
            <w:proofErr w:type="spellEnd"/>
          </w:p>
        </w:tc>
        <w:tc>
          <w:tcPr>
            <w:tcW w:w="20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6D70D" w14:textId="77777777" w:rsidR="001F30C3" w:rsidRPr="004B2C39" w:rsidRDefault="001F30C3" w:rsidP="00EC3339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4B2C39">
              <w:rPr>
                <w:color w:val="000000"/>
                <w:sz w:val="28"/>
                <w:szCs w:val="28"/>
                <w:lang w:val="ru-RU"/>
              </w:rPr>
              <w:t>сатушының жеке сәйкестендіру/бизнес сәйкестендіру нөмірі</w:t>
            </w:r>
          </w:p>
        </w:tc>
        <w:tc>
          <w:tcPr>
            <w:tcW w:w="2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51499" w14:textId="7E6B7FCE" w:rsidR="001F30C3" w:rsidRPr="004B2C39" w:rsidRDefault="001F30C3" w:rsidP="00EC3339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ru-RU"/>
              </w:rPr>
            </w:pPr>
            <w:r w:rsidRPr="004B2C39">
              <w:rPr>
                <w:color w:val="000000"/>
                <w:sz w:val="28"/>
                <w:szCs w:val="28"/>
                <w:lang w:val="ru-RU"/>
              </w:rPr>
              <w:t>тегі, аты, әкесінің аты (егер ол жеке басын куәландыратын құжатта көрсетілсе)/сатушының атауы</w:t>
            </w:r>
          </w:p>
        </w:tc>
        <w:tc>
          <w:tcPr>
            <w:tcW w:w="7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3E343" w14:textId="77777777" w:rsidR="001F30C3" w:rsidRPr="004B2C39" w:rsidRDefault="001F30C3" w:rsidP="00EC3339">
            <w:pPr>
              <w:spacing w:after="20" w:line="240" w:lineRule="auto"/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4B2C39">
              <w:rPr>
                <w:color w:val="000000"/>
                <w:sz w:val="28"/>
                <w:szCs w:val="28"/>
              </w:rPr>
              <w:t>брокер</w:t>
            </w:r>
            <w:proofErr w:type="spellEnd"/>
            <w:r w:rsidRPr="004B2C3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2C39">
              <w:rPr>
                <w:color w:val="000000"/>
                <w:sz w:val="28"/>
                <w:szCs w:val="28"/>
              </w:rPr>
              <w:t>сатушының</w:t>
            </w:r>
            <w:proofErr w:type="spellEnd"/>
          </w:p>
        </w:tc>
        <w:tc>
          <w:tcPr>
            <w:tcW w:w="633" w:type="dxa"/>
            <w:vMerge/>
          </w:tcPr>
          <w:p w14:paraId="4762453A" w14:textId="77777777" w:rsidR="001F30C3" w:rsidRPr="004B2C39" w:rsidRDefault="001F30C3" w:rsidP="00EC3339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1F30C3" w:rsidRPr="004B2C39" w14:paraId="703122D7" w14:textId="77777777" w:rsidTr="001F30C3">
        <w:trPr>
          <w:trHeight w:val="30"/>
          <w:jc w:val="center"/>
        </w:trPr>
        <w:tc>
          <w:tcPr>
            <w:tcW w:w="16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9E807" w14:textId="77777777" w:rsidR="001F30C3" w:rsidRPr="004B2C39" w:rsidRDefault="001F30C3" w:rsidP="00AF6101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3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72817" w14:textId="77777777" w:rsidR="001F30C3" w:rsidRPr="004B2C39" w:rsidRDefault="001F30C3" w:rsidP="00AF6101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9C223" w14:textId="77777777" w:rsidR="001F30C3" w:rsidRPr="004B2C39" w:rsidRDefault="001F30C3" w:rsidP="00AF6101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99300" w14:textId="77777777" w:rsidR="001F30C3" w:rsidRPr="004B2C39" w:rsidRDefault="001F30C3" w:rsidP="00AF6101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9627C" w14:textId="77777777" w:rsidR="001F30C3" w:rsidRPr="004B2C39" w:rsidRDefault="001F30C3" w:rsidP="00AF6101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3EFB6" w14:textId="77777777" w:rsidR="001F30C3" w:rsidRPr="004B2C39" w:rsidRDefault="001F30C3" w:rsidP="00AF6101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FE997" w14:textId="77777777" w:rsidR="001F30C3" w:rsidRPr="004B2C39" w:rsidRDefault="001F30C3" w:rsidP="00AF6101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4B2C39">
              <w:rPr>
                <w:color w:val="000000"/>
                <w:sz w:val="28"/>
                <w:szCs w:val="28"/>
              </w:rPr>
              <w:t>14</w:t>
            </w:r>
          </w:p>
        </w:tc>
      </w:tr>
    </w:tbl>
    <w:p w14:paraId="34D7E3C2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14:paraId="59495D9F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(мәліметтерді ұсынатын ұйым басшысының тегі, аты және әкесінің аты (егер ол жеке басын куәландыратын құжатта көрсетілсе))</w:t>
      </w:r>
    </w:p>
    <w:p w14:paraId="6E9975ED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14:paraId="104DE4C9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(орындаушының тегі, аты және әкесінің аты (егер ол жеке басын куәландыратын құжатта көрсетілсе), телефон нөмірі)</w:t>
      </w:r>
      <w:r w:rsidRPr="004B2C39">
        <w:rPr>
          <w:rFonts w:ascii="Times New Roman" w:hAnsi="Times New Roman" w:cs="Times New Roman"/>
          <w:sz w:val="28"/>
          <w:szCs w:val="28"/>
        </w:rPr>
        <w:br/>
      </w:r>
    </w:p>
    <w:p w14:paraId="174EA4DA" w14:textId="77777777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Ескертпе: *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Мәліметтерді ұйым ұсынады </w:t>
      </w:r>
      <w:r w:rsidRPr="004B2C39">
        <w:rPr>
          <w:rFonts w:ascii="Times New Roman" w:hAnsi="Times New Roman" w:cs="Times New Roman"/>
          <w:sz w:val="28"/>
          <w:szCs w:val="28"/>
          <w:lang w:eastAsia="ru-RU"/>
        </w:rPr>
        <w:t>30 (отыз) жұмыс күні ішінде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мемлекеттік кірістер органының сұрау салуын алған күннен бастап.</w:t>
      </w:r>
    </w:p>
    <w:p w14:paraId="3F16EAA7" w14:textId="2F7E2276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Мәліметтерді ұйым автоматтандырылған ақпараттық жүйеден ұсынады "</w:t>
      </w:r>
      <w:proofErr w:type="spellStart"/>
      <w:r w:rsidRPr="004B2C39">
        <w:rPr>
          <w:rFonts w:ascii="Times New Roman" w:hAnsi="Times New Roman" w:cs="Times New Roman"/>
          <w:color w:val="000000"/>
          <w:sz w:val="28"/>
          <w:szCs w:val="28"/>
        </w:rPr>
        <w:t>Депозитарлық</w:t>
      </w:r>
      <w:proofErr w:type="spellEnd"/>
      <w:r w:rsidRPr="004B2C39">
        <w:rPr>
          <w:rFonts w:ascii="Times New Roman" w:hAnsi="Times New Roman" w:cs="Times New Roman"/>
          <w:color w:val="000000"/>
          <w:sz w:val="28"/>
          <w:szCs w:val="28"/>
        </w:rPr>
        <w:t>- "бағалы қағаздардың орталық депозитарийі" Акционерлік қоғамының "бағалы қағаздарды ақпараттық жүйеге электронды түрде тіркеу жүйесі"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Smart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Data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Finance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" Қазақстан Республикасы Қаржы министрлігі Мемлекеттік кірістер комитетінің</w:t>
      </w:r>
      <w:r w:rsidRPr="004B2C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34EFFE" w14:textId="77777777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Мәліметтерді ұсыну мүмкін болмаған жағдайда </w:t>
      </w:r>
      <w:r w:rsidRPr="004B2C39">
        <w:rPr>
          <w:rFonts w:ascii="Times New Roman" w:hAnsi="Times New Roman" w:cs="Times New Roman"/>
          <w:sz w:val="28"/>
          <w:szCs w:val="28"/>
        </w:rPr>
        <w:t>көрсетілген ақпараттық жүйе арқылы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, сондай-ақ техникалық қателер туындаған жағдайда </w:t>
        <w:lastRenderedPageBreak/>
        <w:t>Мәліметтер электронды түрде "Microsoft Excel" немесе "Microsoft Access" форматында ұсынылады.</w:t>
      </w:r>
      <w:r w:rsidRPr="004B2C39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тасымалдағышта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2E7CF9F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214D36A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63FF5C60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687CB08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284CAEC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B69917C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BFEFC0B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017FC19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432F3D93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659F8DD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44ACDC33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68866EC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9E12FC5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EF26FB5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75B4561B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2584478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F477068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62B02430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1A69408C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2DDFF0B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98E2E13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4E8A6A04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F11F080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E441831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75610AC1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6E69117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7658E64F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4B88656D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4AA7E2D6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5B5F639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0B3B150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18A62447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8CA85F2" w14:textId="77777777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20CCAFA" w14:textId="77777777" w:rsidR="00A15485" w:rsidRPr="004B2C39" w:rsidRDefault="00A15485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7968DC7" w14:textId="0A7C3ECB" w:rsidR="00A15485" w:rsidRDefault="00A15485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B819C14" w14:textId="53C773B4" w:rsidR="00AF6101" w:rsidRDefault="00AF6101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5AE943D" w14:textId="77777777" w:rsidR="00AF6101" w:rsidRPr="004B2C39" w:rsidRDefault="00AF6101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1729E2EE" w14:textId="77777777" w:rsidR="00A15485" w:rsidRPr="004B2C39" w:rsidRDefault="00A15485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67691486" w14:textId="77777777" w:rsidR="00A15485" w:rsidRPr="004B2C39" w:rsidRDefault="00A15485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E8CBD81" w14:textId="77777777" w:rsidR="00A15485" w:rsidRPr="004B2C39" w:rsidRDefault="00A15485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E29E5F4" w14:textId="77777777" w:rsidR="00A15485" w:rsidRPr="004B2C39" w:rsidRDefault="00A15485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4C8159B3" w14:textId="484EB2B0" w:rsidR="003D1383" w:rsidRPr="004B2C39" w:rsidRDefault="003D1383" w:rsidP="003D1383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79DF881A" w14:textId="77777777" w:rsidR="00A15485" w:rsidRPr="004B2C39" w:rsidRDefault="003D1383" w:rsidP="00A15485">
      <w:pPr>
        <w:pStyle w:val="ac"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"Мәліметтер</w:t>
      </w:r>
    </w:p>
    <w:p w14:paraId="51EDC422" w14:textId="0F7554B2" w:rsidR="003D1383" w:rsidRPr="004B2C39" w:rsidRDefault="00A15485" w:rsidP="00A15485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bCs/>
          <w:sz w:val="28"/>
          <w:szCs w:val="28"/>
        </w:rPr>
        <w:t>жеке тұлғалардың тауар биржаларында және (немесе) тауар биржаларының клирингтік орталықтары ұсынатын, тауар биржасында өткізілген биржалық тауарлармен жасалатын мәмілелері туралы"</w:t>
      </w:r>
    </w:p>
    <w:p w14:paraId="298A2465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3A2FA94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E73C8F9" w14:textId="14FCE6E8" w:rsidR="003D1383" w:rsidRPr="004B2C39" w:rsidRDefault="003D1383" w:rsidP="00A15485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>Нысанды толтыру бойынша түсіндірме</w:t>
      </w:r>
      <w:r w:rsidRPr="004B2C39">
        <w:rPr>
          <w:rFonts w:ascii="Times New Roman" w:hAnsi="Times New Roman" w:cs="Times New Roman"/>
          <w:sz w:val="28"/>
          <w:szCs w:val="28"/>
        </w:rPr>
        <w:br/>
      </w: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"Тауар биржаларында және (немесе) тауар биржаларының клирингтік орталықтары ұсынатын, тауар биржасында өткізілген биржалық тауарлармен жеке тұлғалардың мәмілелері туралы мәліметтер"</w:t>
      </w:r>
    </w:p>
    <w:p w14:paraId="0AF1BDB2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Cs/>
          <w:color w:val="000000"/>
          <w:sz w:val="28"/>
          <w:szCs w:val="28"/>
        </w:rPr>
        <w:t>(бұдан әрі – нысан)</w:t>
      </w:r>
    </w:p>
    <w:p w14:paraId="770702D8" w14:textId="77777777" w:rsidR="003D1383" w:rsidRPr="004B2C39" w:rsidRDefault="003D1383" w:rsidP="003D1383">
      <w:pPr>
        <w:pStyle w:val="ac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305069D" w14:textId="77777777" w:rsidR="003D1383" w:rsidRPr="004B2C39" w:rsidRDefault="003D1383" w:rsidP="00AF6101">
      <w:pPr>
        <w:pStyle w:val="ac"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1-бағанында жолдың реттік нөмірі көрсетіледі.</w:t>
      </w:r>
    </w:p>
    <w:p w14:paraId="439F6B4B" w14:textId="77777777" w:rsidR="00A15485" w:rsidRPr="004B2C39" w:rsidRDefault="003D1383" w:rsidP="00AF6101">
      <w:pPr>
        <w:pStyle w:val="ac"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2-бағанында өткізілетін тауардың түрі көрсетіледі</w:t>
      </w:r>
    </w:p>
    <w:p w14:paraId="4C1BF803" w14:textId="16332858" w:rsidR="003D1383" w:rsidRPr="004B2C39" w:rsidRDefault="00A15485" w:rsidP="00AF6101">
      <w:pPr>
        <w:pStyle w:val="ac"/>
        <w:tabs>
          <w:tab w:val="left" w:pos="993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биржалық мәміледе.</w:t>
      </w:r>
    </w:p>
    <w:p w14:paraId="59188799" w14:textId="572D05D2" w:rsidR="003D1383" w:rsidRPr="004B2C39" w:rsidRDefault="003D1383" w:rsidP="00AF6101">
      <w:pPr>
        <w:pStyle w:val="ac"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3-бағанында биржалық мәміленің жасалған күні көрсетіледі. тегі, аты және әкесінің аты (егер </w:t>
      </w:r>
      <w:proofErr w:type="spellStart"/>
      <w:r w:rsidRPr="004B2C39">
        <w:rPr>
          <w:rFonts w:ascii="Times New Roman" w:hAnsi="Times New Roman" w:cs="Times New Roman"/>
          <w:color w:val="000000"/>
          <w:sz w:val="28"/>
          <w:szCs w:val="28"/>
        </w:rPr>
        <w:t>ол көрсетілген</w:t>
      </w:r>
      <w:proofErr w:type="spellEnd"/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жеке тұлғаның бағалы қағаздармен, туынды қаржы құралдарымен мәмілелері туралы мәліметтер ұсынылатын жеке тұлғаның жеке басын куәландыратын құжатта) бағалы қағаздар нарығының кәсіби қатысушылары мемлекеттік кірістер органына ұсынады.</w:t>
      </w:r>
    </w:p>
    <w:p w14:paraId="0EFDD1A2" w14:textId="658B6046" w:rsidR="003D1383" w:rsidRPr="004B2C39" w:rsidRDefault="003D1383" w:rsidP="00AF6101">
      <w:pPr>
        <w:pStyle w:val="ac"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4-бағанында биржалық мәміленің нөмірі көрсетіледі.</w:t>
      </w:r>
    </w:p>
    <w:p w14:paraId="0F876D2B" w14:textId="6464F8AC" w:rsidR="003D1383" w:rsidRPr="004B2C39" w:rsidRDefault="003D1383" w:rsidP="00AF6101">
      <w:pPr>
        <w:pStyle w:val="ac"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5-бағанында биржалық тауардың атауы көрсетіледі.</w:t>
      </w:r>
    </w:p>
    <w:p w14:paraId="4AA67BDB" w14:textId="4533042F" w:rsidR="003D1383" w:rsidRPr="00AF6101" w:rsidRDefault="003D1383" w:rsidP="00EC3339">
      <w:pPr>
        <w:pStyle w:val="ac"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101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6-бағанында нысанның 5-бағанында көрсетілген тауарлардың саны көрсетіледі.</w:t>
      </w:r>
    </w:p>
    <w:p w14:paraId="0A8FA444" w14:textId="154CF59E" w:rsidR="003D1383" w:rsidRPr="004B2C39" w:rsidRDefault="003D1383" w:rsidP="00AF6101">
      <w:pPr>
        <w:pStyle w:val="ac"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7-бағанында лоттың теңгедегі сомасы көрсетіледі.</w:t>
      </w:r>
    </w:p>
    <w:p w14:paraId="0E31AAB1" w14:textId="513457DD" w:rsidR="003D1383" w:rsidRPr="00AF6101" w:rsidRDefault="003D1383" w:rsidP="00EC3339">
      <w:pPr>
        <w:pStyle w:val="ac"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101">
        <w:rPr>
          <w:rFonts w:ascii="Times New Roman" w:hAnsi="Times New Roman" w:cs="Times New Roman"/>
          <w:color w:val="000000"/>
          <w:sz w:val="28"/>
          <w:szCs w:val="28"/>
        </w:rPr>
        <w:t xml:space="preserve">Нысанның 8-бағанында жеке тұлға көрсетіледі </w:t>
      </w:r>
      <w:proofErr w:type="gramStart"/>
      <w:r w:rsidR="00A15485" w:rsidRPr="00AF6101">
        <w:rPr>
          <w:rFonts w:ascii="Times New Roman" w:hAnsi="Times New Roman" w:cs="Times New Roman"/>
          <w:color w:val="000000"/>
          <w:sz w:val="28"/>
          <w:szCs w:val="28"/>
        </w:rPr>
        <w:t>сәйкестендіру нөмірі</w:t>
      </w:r>
      <w:proofErr w:type="gramEnd"/>
      <w:r w:rsidR="00A15485" w:rsidRPr="00AF6101">
        <w:rPr>
          <w:rFonts w:ascii="Times New Roman" w:hAnsi="Times New Roman" w:cs="Times New Roman"/>
          <w:color w:val="000000"/>
          <w:sz w:val="28"/>
          <w:szCs w:val="28"/>
        </w:rPr>
        <w:t xml:space="preserve"> биржалық тауарды сатып алушының.</w:t>
      </w:r>
    </w:p>
    <w:p w14:paraId="226E08D1" w14:textId="7836BDCA" w:rsidR="003D1383" w:rsidRPr="004B2C39" w:rsidRDefault="003D1383" w:rsidP="00AF610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9. Нысанның 9-бағанында 8-бағанда көрсетілген сатып алушының тегі, аты және әкесінің аты (егер ол жеке басын куәландыратын құжатта көрсетілсе) көрсетіледі.</w:t>
      </w:r>
    </w:p>
    <w:p w14:paraId="7254FC76" w14:textId="75BE09A4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10. Нысанның 10-бағанында 8-бағанда көрсетілген сатып алушы брокерінің атауы көрсетіледі.</w:t>
      </w:r>
    </w:p>
    <w:p w14:paraId="41662018" w14:textId="5FF4154D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11. Нысанның 11-бағанында биржалық тауар сатушының жеке сәйкестендіру нөмірі/бизнес сәйкестендіру нөмірі көрсетіледі.</w:t>
      </w:r>
    </w:p>
    <w:p w14:paraId="05EA21D9" w14:textId="06C7F478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12. Нысанның 12-бағанында тегі, аты, әкесінің аты (егер ол жеке басты куәландыратын құжатта көрсетілсе) көрсетіледі./сатушының атауы.</w:t>
      </w:r>
    </w:p>
    <w:p w14:paraId="02212F3E" w14:textId="2B616D4A" w:rsidR="003D1383" w:rsidRPr="004B2C39" w:rsidRDefault="003D1383" w:rsidP="003D138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13. Нысанның 13-бағанында сатушы брокерінің атауы көрсетіледі.</w:t>
      </w:r>
    </w:p>
    <w:p w14:paraId="488C0780" w14:textId="4BCEBA55" w:rsidR="007E06C3" w:rsidRPr="00836BC9" w:rsidRDefault="003D1383" w:rsidP="00FE29C4">
      <w:pPr>
        <w:pStyle w:val="ac"/>
        <w:ind w:firstLine="708"/>
        <w:jc w:val="both"/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14. Нысанның 14-бағанында биржалық сауда-саттық режимі көрсетіледі.</w:t>
      </w:r>
      <w:bookmarkEnd w:id="0"/>
    </w:p>
    <w:sectPr w:rsidR="007E06C3" w:rsidRPr="00836BC9" w:rsidSect="00D66B30">
      <w:headerReference w:type="default" r:id="rId9"/>
      <w:headerReference w:type="first" r:id="rId10"/>
      <w:pgSz w:w="11906" w:h="16838"/>
      <w:pgMar w:top="1418" w:right="851" w:bottom="1418" w:left="1418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05389" w14:textId="77777777" w:rsidR="005618CD" w:rsidRDefault="005618CD" w:rsidP="00397F7A">
      <w:pPr>
        <w:spacing w:after="0" w:line="240" w:lineRule="auto"/>
      </w:pPr>
      <w:r>
        <w:separator/>
      </w:r>
    </w:p>
  </w:endnote>
  <w:endnote w:type="continuationSeparator" w:id="0">
    <w:p w14:paraId="6A820F4F" w14:textId="77777777" w:rsidR="005618CD" w:rsidRDefault="005618CD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941D" w14:textId="77777777" w:rsidR="005618CD" w:rsidRDefault="005618CD" w:rsidP="00397F7A">
      <w:pPr>
        <w:spacing w:after="0" w:line="240" w:lineRule="auto"/>
      </w:pPr>
      <w:r>
        <w:separator/>
      </w:r>
    </w:p>
  </w:footnote>
  <w:footnote w:type="continuationSeparator" w:id="0">
    <w:p w14:paraId="70774C05" w14:textId="77777777" w:rsidR="005618CD" w:rsidRDefault="005618CD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0508C4"/>
    <w:rsid w:val="001F30C3"/>
    <w:rsid w:val="002303D9"/>
    <w:rsid w:val="00397F7A"/>
    <w:rsid w:val="003D1383"/>
    <w:rsid w:val="003D156F"/>
    <w:rsid w:val="004B2C39"/>
    <w:rsid w:val="004C49D5"/>
    <w:rsid w:val="0052759B"/>
    <w:rsid w:val="005618CD"/>
    <w:rsid w:val="005A1D57"/>
    <w:rsid w:val="006E73A8"/>
    <w:rsid w:val="00703875"/>
    <w:rsid w:val="007113F2"/>
    <w:rsid w:val="00711D8C"/>
    <w:rsid w:val="007816B1"/>
    <w:rsid w:val="007963B1"/>
    <w:rsid w:val="007E06C3"/>
    <w:rsid w:val="007E7626"/>
    <w:rsid w:val="00831747"/>
    <w:rsid w:val="00833B2C"/>
    <w:rsid w:val="00836BC9"/>
    <w:rsid w:val="00855153"/>
    <w:rsid w:val="008D5882"/>
    <w:rsid w:val="00970B27"/>
    <w:rsid w:val="00A15485"/>
    <w:rsid w:val="00AF6101"/>
    <w:rsid w:val="00BD0BFE"/>
    <w:rsid w:val="00C66C75"/>
    <w:rsid w:val="00C87DC3"/>
    <w:rsid w:val="00CB3E80"/>
    <w:rsid w:val="00D66B30"/>
    <w:rsid w:val="00EC3339"/>
    <w:rsid w:val="00EE535F"/>
    <w:rsid w:val="00EF7C62"/>
    <w:rsid w:val="00F60047"/>
    <w:rsid w:val="00F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4CB1C-DD8F-4655-8135-00A4328B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2025-09-10T04:02:00Z</dcterms:created>
  <dcterms:modified xsi:type="dcterms:W3CDTF">2025-09-10T04:13:00Z</dcterms:modified>
</cp:coreProperties>
</file>